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16" w:rsidRPr="00904EBD" w:rsidRDefault="006C69D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bookmarkEnd w:id="0"/>
      <w:r w:rsidRPr="00904EBD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3C659C" w:rsidRPr="00904EBD">
        <w:rPr>
          <w:rFonts w:ascii="標楷體" w:eastAsia="標楷體" w:hAnsi="標楷體"/>
          <w:b/>
          <w:color w:val="0D0D0D"/>
          <w:sz w:val="32"/>
          <w:szCs w:val="32"/>
        </w:rPr>
        <w:t>108</w:t>
      </w: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904EBD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904EBD" w:rsidRPr="00904EBD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以N</w:t>
      </w:r>
      <w:r w:rsidR="00904EBD" w:rsidRPr="00904EBD">
        <w:rPr>
          <w:rFonts w:ascii="標楷體" w:eastAsia="標楷體" w:hAnsi="標楷體" w:cs="BiauKai"/>
          <w:b/>
          <w:color w:val="0D0D0D"/>
          <w:sz w:val="32"/>
          <w:szCs w:val="32"/>
        </w:rPr>
        <w:t>udge(</w:t>
      </w:r>
      <w:r w:rsidR="00904EBD" w:rsidRPr="00904EBD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巧推</w:t>
      </w:r>
      <w:r w:rsidR="00904EBD" w:rsidRPr="00904EBD">
        <w:rPr>
          <w:rFonts w:ascii="標楷體" w:eastAsia="標楷體" w:hAnsi="標楷體" w:cs="BiauKai"/>
          <w:b/>
          <w:color w:val="0D0D0D"/>
          <w:sz w:val="32"/>
          <w:szCs w:val="32"/>
        </w:rPr>
        <w:t>)</w:t>
      </w:r>
      <w:r w:rsidR="00904EBD" w:rsidRPr="00904EBD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理論及策略應用於校園菸、檳防制之推動</w:t>
      </w:r>
      <w:r w:rsidR="00904EBD" w:rsidRPr="00904EBD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904EBD" w:rsidRDefault="006C69DC" w:rsidP="00904EBD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04EBD">
        <w:rPr>
          <w:rFonts w:ascii="標楷體" w:eastAsia="標楷體" w:hAnsi="標楷體"/>
          <w:color w:val="0D0D0D"/>
          <w:sz w:val="28"/>
          <w:szCs w:val="28"/>
        </w:rPr>
        <w:t>依據：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904EBD">
        <w:rPr>
          <w:rFonts w:ascii="標楷體" w:eastAsia="標楷體" w:hAnsi="標楷體"/>
          <w:color w:val="000000"/>
          <w:sz w:val="28"/>
          <w:szCs w:val="28"/>
        </w:rPr>
        <w:t>10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年9月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日桃教體字第</w:t>
      </w:r>
    </w:p>
    <w:p w:rsidR="00FC1316" w:rsidRPr="00904EBD" w:rsidRDefault="00904EBD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CE719E" w:rsidRPr="00904EBD">
        <w:rPr>
          <w:rFonts w:ascii="標楷體" w:eastAsia="標楷體" w:hAnsi="標楷體"/>
          <w:color w:val="000000"/>
          <w:sz w:val="28"/>
          <w:szCs w:val="28"/>
        </w:rPr>
        <w:t>10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80078059</w:t>
      </w:r>
      <w:r w:rsidR="006C69DC" w:rsidRPr="00904EBD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904EBD" w:rsidRPr="00680DF6" w:rsidRDefault="00904EBD" w:rsidP="00680DF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</w:t>
      </w:r>
    </w:p>
    <w:p w:rsidR="00CE719E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9F09E6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(三</w:t>
      </w:r>
      <w:r w:rsidR="00904EBD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/>
          <w:color w:val="000000"/>
          <w:sz w:val="28"/>
          <w:szCs w:val="28"/>
        </w:rPr>
        <w:t>透過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N</w:t>
      </w:r>
      <w:r w:rsidR="00CE719E">
        <w:rPr>
          <w:rFonts w:ascii="標楷體" w:eastAsia="標楷體" w:hAnsi="標楷體"/>
          <w:color w:val="000000"/>
          <w:sz w:val="28"/>
          <w:szCs w:val="28"/>
        </w:rPr>
        <w:t>udge(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巧推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理論及策略</w:t>
      </w:r>
      <w:r w:rsidR="00CE719E">
        <w:rPr>
          <w:rFonts w:ascii="標楷體" w:eastAsia="標楷體" w:hAnsi="標楷體"/>
          <w:color w:val="000000"/>
          <w:sz w:val="28"/>
          <w:szCs w:val="28"/>
        </w:rPr>
        <w:t>，有效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改變</w:t>
      </w:r>
      <w:r w:rsidR="009F09E6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抽菸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嚼食檳榔之行</w:t>
      </w:r>
    </w:p>
    <w:p w:rsidR="00FC1316" w:rsidRPr="003C659C" w:rsidRDefault="009F0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Pr="00CE719E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904EBD" w:rsidRDefault="006C69DC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反菸拒檳協力學校以及本市45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班以上國民中小學，請務必派員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Pr="003C659C">
        <w:rPr>
          <w:rFonts w:ascii="標楷體" w:eastAsia="標楷體" w:hAnsi="標楷體"/>
          <w:b/>
          <w:color w:val="0D0D0D"/>
          <w:sz w:val="28"/>
          <w:szCs w:val="28"/>
        </w:rPr>
        <w:t>與</w:t>
      </w:r>
    </w:p>
    <w:p w:rsidR="00FC1316" w:rsidRPr="00904EBD" w:rsidRDefault="00904EBD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日期：108年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三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至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時30分。全程參與核予研習時數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904EBD">
        <w:rPr>
          <w:rFonts w:ascii="標楷體" w:eastAsia="標楷體" w:hAnsi="標楷體"/>
          <w:color w:val="0D0D0D"/>
          <w:sz w:val="28"/>
          <w:szCs w:val="28"/>
        </w:rPr>
        <w:t>)地點：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Pr="003C659C">
        <w:rPr>
          <w:rFonts w:ascii="標楷體" w:eastAsia="標楷體" w:hAnsi="標楷體"/>
          <w:color w:val="0D0D0D"/>
          <w:sz w:val="28"/>
          <w:szCs w:val="28"/>
        </w:rPr>
        <w:t xml:space="preserve">號) 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六、報名方式：請各校參加人員於108年1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日前逕至桃園市教師專</w:t>
      </w:r>
    </w:p>
    <w:p w:rsidR="00904EBD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業研習系統(網址：http://passport.tyc.edu.tw/)</w:t>
      </w:r>
      <w:r>
        <w:rPr>
          <w:rFonts w:ascii="標楷體" w:eastAsia="標楷體" w:hAnsi="標楷體"/>
          <w:color w:val="0D0D0D"/>
          <w:sz w:val="28"/>
          <w:szCs w:val="28"/>
        </w:rPr>
        <w:t>－「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國中」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項下報名。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工具。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告方案。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FC1316" w:rsidRDefault="006C69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FC1316" w:rsidRPr="003C659C" w:rsidRDefault="00FC1316" w:rsidP="009F0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952B4B" w:rsidRDefault="009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952B4B" w:rsidRDefault="009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904EBD">
        <w:rPr>
          <w:rFonts w:ascii="標楷體" w:eastAsia="標楷體" w:hAnsi="標楷體"/>
          <w:b/>
          <w:color w:val="0D0D0D"/>
          <w:sz w:val="28"/>
          <w:szCs w:val="28"/>
        </w:rPr>
        <w:t>桃園市</w:t>
      </w:r>
      <w:r w:rsidR="003C659C" w:rsidRPr="00904EBD">
        <w:rPr>
          <w:rFonts w:ascii="標楷體" w:eastAsia="標楷體" w:hAnsi="標楷體"/>
          <w:b/>
          <w:color w:val="0D0D0D"/>
          <w:sz w:val="28"/>
          <w:szCs w:val="28"/>
        </w:rPr>
        <w:t>10</w:t>
      </w:r>
      <w:r w:rsidR="003C659C" w:rsidRPr="00904EBD">
        <w:rPr>
          <w:rFonts w:ascii="標楷體" w:eastAsia="標楷體" w:hAnsi="標楷體" w:hint="eastAsia"/>
          <w:b/>
          <w:color w:val="0D0D0D"/>
          <w:sz w:val="28"/>
          <w:szCs w:val="28"/>
        </w:rPr>
        <w:t>8</w:t>
      </w:r>
      <w:r w:rsidRPr="00904EBD">
        <w:rPr>
          <w:rFonts w:ascii="標楷體" w:eastAsia="標楷體" w:hAnsi="標楷體"/>
          <w:b/>
          <w:color w:val="0D0D0D"/>
          <w:sz w:val="28"/>
          <w:szCs w:val="28"/>
        </w:rPr>
        <w:t>學年度</w:t>
      </w:r>
    </w:p>
    <w:p w:rsidR="00FC1316" w:rsidRPr="00904EBD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新細明體" w:eastAsia="新細明體" w:hAnsi="新細明體" w:hint="eastAsia"/>
          <w:b/>
          <w:color w:val="0D0D0D"/>
          <w:sz w:val="28"/>
          <w:szCs w:val="28"/>
        </w:rPr>
        <w:t>「</w:t>
      </w:r>
      <w:r w:rsidRPr="00904EBD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以N</w:t>
      </w:r>
      <w:r w:rsidRPr="00904EBD">
        <w:rPr>
          <w:rFonts w:ascii="標楷體" w:eastAsia="標楷體" w:hAnsi="標楷體" w:cs="BiauKai"/>
          <w:b/>
          <w:color w:val="0D0D0D"/>
          <w:sz w:val="28"/>
          <w:szCs w:val="28"/>
        </w:rPr>
        <w:t>udge(</w:t>
      </w:r>
      <w:r w:rsidRPr="00904EBD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巧推</w:t>
      </w:r>
      <w:r w:rsidRPr="00904EBD">
        <w:rPr>
          <w:rFonts w:ascii="標楷體" w:eastAsia="標楷體" w:hAnsi="標楷體" w:cs="BiauKai"/>
          <w:b/>
          <w:color w:val="0D0D0D"/>
          <w:sz w:val="28"/>
          <w:szCs w:val="28"/>
        </w:rPr>
        <w:t>)</w:t>
      </w:r>
      <w:r w:rsidRPr="00904EBD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理論及策略應用於校園菸、檳防制之推動</w:t>
      </w:r>
      <w:r>
        <w:rPr>
          <w:rFonts w:ascii="新細明體" w:eastAsia="新細明體" w:hAnsi="新細明體" w:cs="BiauKai" w:hint="eastAsia"/>
          <w:b/>
          <w:color w:val="0D0D0D"/>
          <w:sz w:val="28"/>
          <w:szCs w:val="28"/>
        </w:rPr>
        <w:t>」</w:t>
      </w:r>
      <w:r w:rsidR="006C69DC" w:rsidRPr="00904EBD">
        <w:rPr>
          <w:rFonts w:ascii="標楷體" w:eastAsia="標楷體" w:hAnsi="標楷體"/>
          <w:b/>
          <w:color w:val="0D0D0D"/>
          <w:sz w:val="28"/>
          <w:szCs w:val="28"/>
        </w:rPr>
        <w:t>研習時程表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61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13:00-13:25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13:25-13:30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>
        <w:tc>
          <w:tcPr>
            <w:tcW w:w="2376" w:type="dxa"/>
            <w:shd w:val="clear" w:color="auto" w:fill="F2F2F2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13:30-1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以N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udge(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巧推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理論及策略應用於校園菸</w:t>
            </w:r>
            <w:r>
              <w:rPr>
                <w:rFonts w:ascii="新細明體" w:eastAsia="新細明體" w:hAnsi="新細明體" w:cs="BiauKai" w:hint="eastAsia"/>
                <w:color w:val="0D0D0D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檳防制之推動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3C659C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林承宇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副教授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世新大學廣播電視電影學系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>
      <w:footerReference w:type="even" r:id="rId8"/>
      <w:footerReference w:type="default" r:id="rId9"/>
      <w:pgSz w:w="11906" w:h="16838"/>
      <w:pgMar w:top="1135" w:right="1418" w:bottom="426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BE" w:rsidRDefault="001A77BE">
      <w:pPr>
        <w:spacing w:line="240" w:lineRule="auto"/>
        <w:ind w:left="0" w:hanging="2"/>
      </w:pPr>
      <w:r>
        <w:separator/>
      </w:r>
    </w:p>
  </w:endnote>
  <w:endnote w:type="continuationSeparator" w:id="0">
    <w:p w:rsidR="001A77BE" w:rsidRDefault="001A77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77B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BE" w:rsidRDefault="001A77BE">
      <w:pPr>
        <w:spacing w:line="240" w:lineRule="auto"/>
        <w:ind w:left="0" w:hanging="2"/>
      </w:pPr>
      <w:r>
        <w:separator/>
      </w:r>
    </w:p>
  </w:footnote>
  <w:footnote w:type="continuationSeparator" w:id="0">
    <w:p w:rsidR="001A77BE" w:rsidRDefault="001A77B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16"/>
    <w:rsid w:val="001A77BE"/>
    <w:rsid w:val="003C659C"/>
    <w:rsid w:val="00610249"/>
    <w:rsid w:val="00680DF6"/>
    <w:rsid w:val="00684A00"/>
    <w:rsid w:val="006C69DC"/>
    <w:rsid w:val="00741E0D"/>
    <w:rsid w:val="00904EBD"/>
    <w:rsid w:val="00952B4B"/>
    <w:rsid w:val="009F09E6"/>
    <w:rsid w:val="00AA603C"/>
    <w:rsid w:val="00AD0011"/>
    <w:rsid w:val="00BA5BA1"/>
    <w:rsid w:val="00CE719E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>HOME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2019-10-14T23:51:00Z</dcterms:created>
  <dcterms:modified xsi:type="dcterms:W3CDTF">2019-10-14T23:51:00Z</dcterms:modified>
</cp:coreProperties>
</file>